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38"/>
        <w:gridCol w:w="3279"/>
        <w:gridCol w:w="1399"/>
        <w:gridCol w:w="129"/>
        <w:gridCol w:w="898"/>
        <w:gridCol w:w="1258"/>
      </w:tblGrid>
      <w:tr w:rsidR="00CB256C" w:rsidRPr="00CB256C" w:rsidTr="00717E80">
        <w:trPr>
          <w:trHeight w:val="324"/>
          <w:tblHeader/>
          <w:jc w:val="center"/>
        </w:trPr>
        <w:tc>
          <w:tcPr>
            <w:tcW w:w="6655" w:type="dxa"/>
            <w:gridSpan w:val="4"/>
            <w:shd w:val="clear" w:color="auto" w:fill="548DD4"/>
            <w:vAlign w:val="center"/>
          </w:tcPr>
          <w:p w:rsidR="00CB256C" w:rsidRPr="00CB256C" w:rsidRDefault="00CB256C" w:rsidP="00CB256C">
            <w:pPr>
              <w:keepNext/>
              <w:tabs>
                <w:tab w:val="left" w:pos="475"/>
                <w:tab w:val="left" w:pos="950"/>
                <w:tab w:val="left" w:pos="2390"/>
              </w:tabs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FFFFFF"/>
                <w:lang w:bidi="en-US"/>
              </w:rPr>
            </w:pPr>
            <w:bookmarkStart w:id="0" w:name="_GoBack"/>
            <w:bookmarkEnd w:id="0"/>
            <w:r w:rsidRPr="00CB256C">
              <w:rPr>
                <w:rFonts w:ascii="Garamond" w:eastAsia="Times New Roman" w:hAnsi="Garamond" w:cs="Times New Roman"/>
                <w:b/>
                <w:bCs/>
                <w:color w:val="FFFFFF"/>
                <w:sz w:val="28"/>
                <w:lang w:bidi="en-US"/>
              </w:rPr>
              <w:t>Factor of Safety and Design Infiltration Rate Worksheet</w:t>
            </w:r>
          </w:p>
        </w:tc>
        <w:tc>
          <w:tcPr>
            <w:tcW w:w="2285" w:type="dxa"/>
            <w:gridSpan w:val="3"/>
            <w:shd w:val="clear" w:color="auto" w:fill="548DD4"/>
            <w:vAlign w:val="bottom"/>
          </w:tcPr>
          <w:p w:rsidR="00CB256C" w:rsidRPr="00717E80" w:rsidRDefault="00CB256C" w:rsidP="00CB256C">
            <w:pPr>
              <w:keepNext/>
              <w:tabs>
                <w:tab w:val="left" w:pos="475"/>
                <w:tab w:val="left" w:pos="950"/>
                <w:tab w:val="left" w:pos="2390"/>
              </w:tabs>
              <w:spacing w:before="60" w:after="60" w:line="30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24"/>
                <w:szCs w:val="24"/>
                <w:lang w:bidi="en-US"/>
              </w:rPr>
            </w:pPr>
            <w:r w:rsidRPr="00717E80">
              <w:rPr>
                <w:rFonts w:ascii="Garamond" w:eastAsia="Times New Roman" w:hAnsi="Garamond" w:cs="Times New Roman"/>
                <w:b/>
                <w:bCs/>
                <w:color w:val="FFFFFF"/>
                <w:sz w:val="24"/>
                <w:szCs w:val="24"/>
                <w:lang w:bidi="en-US"/>
              </w:rPr>
              <w:t>Form I-6</w:t>
            </w:r>
          </w:p>
        </w:tc>
      </w:tr>
      <w:tr w:rsidR="00CB256C" w:rsidRPr="00CB256C" w:rsidTr="00717E80">
        <w:trPr>
          <w:trHeight w:val="698"/>
          <w:tblHeader/>
          <w:jc w:val="center"/>
        </w:trPr>
        <w:tc>
          <w:tcPr>
            <w:tcW w:w="1977" w:type="dxa"/>
            <w:gridSpan w:val="2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Factor Category</w:t>
            </w:r>
          </w:p>
        </w:tc>
        <w:tc>
          <w:tcPr>
            <w:tcW w:w="3279" w:type="dxa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Factor Description</w:t>
            </w:r>
          </w:p>
        </w:tc>
        <w:tc>
          <w:tcPr>
            <w:tcW w:w="1399" w:type="dxa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Assigned Weight (w)</w:t>
            </w:r>
          </w:p>
        </w:tc>
        <w:tc>
          <w:tcPr>
            <w:tcW w:w="1027" w:type="dxa"/>
            <w:gridSpan w:val="2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Factor Value (v)</w:t>
            </w:r>
          </w:p>
        </w:tc>
        <w:tc>
          <w:tcPr>
            <w:tcW w:w="1258" w:type="dxa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Product (p)</w:t>
            </w: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center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p = w x v</w:t>
            </w:r>
          </w:p>
        </w:tc>
      </w:tr>
      <w:tr w:rsidR="00CB256C" w:rsidRPr="00CB256C" w:rsidTr="00717E80">
        <w:trPr>
          <w:trHeight w:val="264"/>
          <w:jc w:val="center"/>
        </w:trPr>
        <w:tc>
          <w:tcPr>
            <w:tcW w:w="539" w:type="dxa"/>
            <w:vMerge w:val="restart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A</w:t>
            </w:r>
          </w:p>
        </w:tc>
        <w:tc>
          <w:tcPr>
            <w:tcW w:w="1438" w:type="dxa"/>
            <w:vMerge w:val="restart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Suitability Assessment</w:t>
            </w: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Soil assessment methods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5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Predominant soil texture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5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Site soil variability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5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Depth to groundwater / impervious layer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4014AB">
        <w:trPr>
          <w:trHeight w:val="265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5705" w:type="dxa"/>
            <w:gridSpan w:val="4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Suitability Assessment Safety Factor,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A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 xml:space="preserve"> = 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sym w:font="Symbol" w:char="F053"/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>p</w:t>
            </w: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5"/>
          <w:jc w:val="center"/>
        </w:trPr>
        <w:tc>
          <w:tcPr>
            <w:tcW w:w="539" w:type="dxa"/>
            <w:vMerge w:val="restart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B</w:t>
            </w:r>
          </w:p>
        </w:tc>
        <w:tc>
          <w:tcPr>
            <w:tcW w:w="1438" w:type="dxa"/>
            <w:vMerge w:val="restart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  <w:r w:rsidRPr="00717E80">
              <w:rPr>
                <w:rFonts w:ascii="Garamond" w:eastAsia="Calibri" w:hAnsi="Garamond" w:cs="Georgia"/>
                <w:sz w:val="24"/>
                <w:szCs w:val="24"/>
              </w:rPr>
              <w:t>Design</w:t>
            </w: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Level of pretreatment/ expected sediment loads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Redundancy/resiliency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717E80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Compaction during construction</w:t>
            </w:r>
          </w:p>
        </w:tc>
        <w:tc>
          <w:tcPr>
            <w:tcW w:w="1399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0.25</w:t>
            </w:r>
          </w:p>
        </w:tc>
        <w:tc>
          <w:tcPr>
            <w:tcW w:w="1027" w:type="dxa"/>
            <w:gridSpan w:val="2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4014AB">
        <w:trPr>
          <w:trHeight w:val="265"/>
          <w:jc w:val="center"/>
        </w:trPr>
        <w:tc>
          <w:tcPr>
            <w:tcW w:w="539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  <w:tc>
          <w:tcPr>
            <w:tcW w:w="5705" w:type="dxa"/>
            <w:gridSpan w:val="4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Design Safety Factor,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B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 xml:space="preserve"> = 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sym w:font="Symbol" w:char="F053"/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>p</w:t>
            </w:r>
          </w:p>
        </w:tc>
        <w:tc>
          <w:tcPr>
            <w:tcW w:w="1258" w:type="dxa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Georgia"/>
                <w:sz w:val="24"/>
                <w:szCs w:val="24"/>
              </w:rPr>
            </w:pPr>
          </w:p>
        </w:tc>
      </w:tr>
      <w:tr w:rsidR="00CB256C" w:rsidRPr="00CB256C" w:rsidTr="004014AB">
        <w:trPr>
          <w:trHeight w:val="541"/>
          <w:jc w:val="center"/>
        </w:trPr>
        <w:tc>
          <w:tcPr>
            <w:tcW w:w="6784" w:type="dxa"/>
            <w:gridSpan w:val="5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Combined Safety Factor,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total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>=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 xml:space="preserve">A 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>x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B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2"/>
            <w:vAlign w:val="center"/>
          </w:tcPr>
          <w:p w:rsidR="00CB256C" w:rsidRPr="00CB256C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0"/>
              </w:rPr>
            </w:pPr>
          </w:p>
        </w:tc>
      </w:tr>
      <w:tr w:rsidR="00CB256C" w:rsidRPr="00CB256C" w:rsidTr="004014AB">
        <w:trPr>
          <w:trHeight w:val="647"/>
          <w:jc w:val="center"/>
        </w:trPr>
        <w:tc>
          <w:tcPr>
            <w:tcW w:w="6784" w:type="dxa"/>
            <w:gridSpan w:val="5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Observed Infiltration Rate, inch/hr, K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observed</w:t>
            </w: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(corrected for test-specific bias)</w:t>
            </w:r>
          </w:p>
        </w:tc>
        <w:tc>
          <w:tcPr>
            <w:tcW w:w="2156" w:type="dxa"/>
            <w:gridSpan w:val="2"/>
            <w:vAlign w:val="center"/>
          </w:tcPr>
          <w:p w:rsidR="00CB256C" w:rsidRPr="00CB256C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0"/>
              </w:rPr>
            </w:pPr>
          </w:p>
        </w:tc>
      </w:tr>
      <w:tr w:rsidR="00CB256C" w:rsidRPr="00CB256C" w:rsidTr="004014AB">
        <w:trPr>
          <w:trHeight w:val="583"/>
          <w:jc w:val="center"/>
        </w:trPr>
        <w:tc>
          <w:tcPr>
            <w:tcW w:w="6784" w:type="dxa"/>
            <w:gridSpan w:val="5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Design Infiltration Rate, in/hr, K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 xml:space="preserve">design 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>= K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observed</w:t>
            </w:r>
            <w:r w:rsidRPr="00717E80">
              <w:rPr>
                <w:rFonts w:ascii="Garamond" w:eastAsia="Calibri" w:hAnsi="Garamond" w:cs="Arial"/>
                <w:sz w:val="24"/>
                <w:szCs w:val="24"/>
              </w:rPr>
              <w:t xml:space="preserve"> / S</w:t>
            </w:r>
            <w:r w:rsidRPr="00717E80">
              <w:rPr>
                <w:rFonts w:ascii="Garamond" w:eastAsia="Calibri" w:hAnsi="Garamond" w:cs="Arial"/>
                <w:sz w:val="24"/>
                <w:szCs w:val="24"/>
                <w:vertAlign w:val="subscript"/>
              </w:rPr>
              <w:t>total</w:t>
            </w:r>
          </w:p>
        </w:tc>
        <w:tc>
          <w:tcPr>
            <w:tcW w:w="2156" w:type="dxa"/>
            <w:gridSpan w:val="2"/>
            <w:vAlign w:val="center"/>
          </w:tcPr>
          <w:p w:rsidR="00CB256C" w:rsidRPr="00CB256C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0"/>
              </w:rPr>
            </w:pPr>
          </w:p>
        </w:tc>
      </w:tr>
      <w:tr w:rsidR="00CB256C" w:rsidRPr="00CB256C" w:rsidTr="00CB256C">
        <w:trPr>
          <w:trHeight w:val="348"/>
          <w:jc w:val="center"/>
        </w:trPr>
        <w:tc>
          <w:tcPr>
            <w:tcW w:w="8940" w:type="dxa"/>
            <w:gridSpan w:val="7"/>
            <w:shd w:val="clear" w:color="auto" w:fill="C6D9F1"/>
            <w:vAlign w:val="center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b/>
                <w:sz w:val="24"/>
                <w:szCs w:val="24"/>
              </w:rPr>
              <w:t>Supporting Data</w:t>
            </w:r>
          </w:p>
        </w:tc>
      </w:tr>
      <w:tr w:rsidR="00CB256C" w:rsidRPr="00CB256C" w:rsidTr="004014AB">
        <w:trPr>
          <w:trHeight w:val="2312"/>
          <w:jc w:val="center"/>
        </w:trPr>
        <w:tc>
          <w:tcPr>
            <w:tcW w:w="8940" w:type="dxa"/>
            <w:gridSpan w:val="7"/>
          </w:tcPr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717E80">
              <w:rPr>
                <w:rFonts w:ascii="Garamond" w:eastAsia="Calibri" w:hAnsi="Garamond" w:cs="Arial"/>
                <w:sz w:val="24"/>
                <w:szCs w:val="24"/>
              </w:rPr>
              <w:t>Briefly describe infiltration test and provide reference to test forms:</w:t>
            </w: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CB256C" w:rsidRPr="00717E80" w:rsidRDefault="00CB256C" w:rsidP="00CB256C">
            <w:pPr>
              <w:keepNext/>
              <w:spacing w:before="60" w:after="6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B31FE7" w:rsidRDefault="006166B7"/>
    <w:sectPr w:rsidR="00B31F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80" w:rsidRDefault="00717E80" w:rsidP="00717E80">
      <w:pPr>
        <w:spacing w:after="0" w:line="240" w:lineRule="auto"/>
      </w:pPr>
      <w:r>
        <w:separator/>
      </w:r>
    </w:p>
  </w:endnote>
  <w:endnote w:type="continuationSeparator" w:id="0">
    <w:p w:rsidR="00717E80" w:rsidRDefault="00717E80" w:rsidP="0071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80" w:rsidRPr="00717E80" w:rsidRDefault="00717E80" w:rsidP="005C16FC">
    <w:pPr>
      <w:pStyle w:val="Footer"/>
      <w:jc w:val="right"/>
      <w:rPr>
        <w:rFonts w:ascii="Garamond" w:hAnsi="Garamond"/>
        <w:color w:val="000000" w:themeColor="text1"/>
      </w:rPr>
    </w:pPr>
    <w:r w:rsidRPr="00717E80">
      <w:rPr>
        <w:rFonts w:ascii="Garamond" w:hAnsi="Garamond"/>
        <w:color w:val="000000" w:themeColor="text1"/>
      </w:rPr>
      <w:t xml:space="preserve">Page </w:t>
    </w:r>
    <w:r w:rsidRPr="00717E80">
      <w:rPr>
        <w:rFonts w:ascii="Garamond" w:hAnsi="Garamond"/>
        <w:color w:val="000000" w:themeColor="text1"/>
      </w:rPr>
      <w:fldChar w:fldCharType="begin"/>
    </w:r>
    <w:r w:rsidRPr="00717E80">
      <w:rPr>
        <w:rFonts w:ascii="Garamond" w:hAnsi="Garamond"/>
        <w:color w:val="000000" w:themeColor="text1"/>
      </w:rPr>
      <w:instrText xml:space="preserve"> PAGE  \* Arabic  \* MERGEFORMAT </w:instrText>
    </w:r>
    <w:r w:rsidRPr="00717E80">
      <w:rPr>
        <w:rFonts w:ascii="Garamond" w:hAnsi="Garamond"/>
        <w:color w:val="000000" w:themeColor="text1"/>
      </w:rPr>
      <w:fldChar w:fldCharType="separate"/>
    </w:r>
    <w:r w:rsidR="006166B7">
      <w:rPr>
        <w:rFonts w:ascii="Garamond" w:hAnsi="Garamond"/>
        <w:noProof/>
        <w:color w:val="000000" w:themeColor="text1"/>
      </w:rPr>
      <w:t>1</w:t>
    </w:r>
    <w:r w:rsidRPr="00717E80">
      <w:rPr>
        <w:rFonts w:ascii="Garamond" w:hAnsi="Garamond"/>
        <w:color w:val="000000" w:themeColor="text1"/>
      </w:rPr>
      <w:fldChar w:fldCharType="end"/>
    </w:r>
    <w:r w:rsidRPr="00717E80">
      <w:rPr>
        <w:rFonts w:ascii="Garamond" w:hAnsi="Garamond"/>
        <w:color w:val="000000" w:themeColor="text1"/>
      </w:rPr>
      <w:t xml:space="preserve"> of </w:t>
    </w:r>
    <w:r w:rsidRPr="00717E80">
      <w:rPr>
        <w:rFonts w:ascii="Garamond" w:hAnsi="Garamond"/>
        <w:color w:val="000000" w:themeColor="text1"/>
      </w:rPr>
      <w:fldChar w:fldCharType="begin"/>
    </w:r>
    <w:r w:rsidRPr="00717E80">
      <w:rPr>
        <w:rFonts w:ascii="Garamond" w:hAnsi="Garamond"/>
        <w:color w:val="000000" w:themeColor="text1"/>
      </w:rPr>
      <w:instrText xml:space="preserve"> NUMPAGES  \* Arabic  \* MERGEFORMAT </w:instrText>
    </w:r>
    <w:r w:rsidRPr="00717E80">
      <w:rPr>
        <w:rFonts w:ascii="Garamond" w:hAnsi="Garamond"/>
        <w:color w:val="000000" w:themeColor="text1"/>
      </w:rPr>
      <w:fldChar w:fldCharType="separate"/>
    </w:r>
    <w:r w:rsidR="006166B7">
      <w:rPr>
        <w:rFonts w:ascii="Garamond" w:hAnsi="Garamond"/>
        <w:noProof/>
        <w:color w:val="000000" w:themeColor="text1"/>
      </w:rPr>
      <w:t>1</w:t>
    </w:r>
    <w:r w:rsidRPr="00717E80">
      <w:rPr>
        <w:rFonts w:ascii="Garamond" w:hAnsi="Garamond"/>
        <w:color w:val="000000" w:themeColor="text1"/>
      </w:rPr>
      <w:fldChar w:fldCharType="end"/>
    </w:r>
    <w:r w:rsidR="005C16FC">
      <w:rPr>
        <w:rFonts w:ascii="Garamond" w:hAnsi="Garamond"/>
        <w:color w:val="000000" w:themeColor="text1"/>
      </w:rPr>
      <w:t xml:space="preserve">          </w:t>
    </w:r>
    <w:r w:rsidR="005C16FC" w:rsidRPr="005C16FC">
      <w:rPr>
        <w:rFonts w:ascii="Garamond" w:hAnsi="Garamond"/>
        <w:color w:val="000000" w:themeColor="text1"/>
        <w:sz w:val="20"/>
        <w:szCs w:val="20"/>
      </w:rPr>
      <w:t>(2016/01/14)</w:t>
    </w:r>
  </w:p>
  <w:p w:rsidR="00717E80" w:rsidRDefault="0071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80" w:rsidRDefault="00717E80" w:rsidP="00717E80">
      <w:pPr>
        <w:spacing w:after="0" w:line="240" w:lineRule="auto"/>
      </w:pPr>
      <w:r>
        <w:separator/>
      </w:r>
    </w:p>
  </w:footnote>
  <w:footnote w:type="continuationSeparator" w:id="0">
    <w:p w:rsidR="00717E80" w:rsidRDefault="00717E80" w:rsidP="0071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6C"/>
    <w:rsid w:val="003F2951"/>
    <w:rsid w:val="005C16FC"/>
    <w:rsid w:val="006166B7"/>
    <w:rsid w:val="006D065A"/>
    <w:rsid w:val="00717E80"/>
    <w:rsid w:val="009C1C09"/>
    <w:rsid w:val="00C5280D"/>
    <w:rsid w:val="00CB256C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9AEE-2E47-49E7-B9BB-9651AB3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80"/>
  </w:style>
  <w:style w:type="paragraph" w:styleId="Footer">
    <w:name w:val="footer"/>
    <w:basedOn w:val="Normal"/>
    <w:link w:val="FooterChar"/>
    <w:uiPriority w:val="99"/>
    <w:unhideWhenUsed/>
    <w:rsid w:val="0071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Marrone</dc:creator>
  <cp:keywords/>
  <dc:description/>
  <cp:lastModifiedBy>Elisa Marrone</cp:lastModifiedBy>
  <cp:revision>7</cp:revision>
  <dcterms:created xsi:type="dcterms:W3CDTF">2016-01-14T18:28:00Z</dcterms:created>
  <dcterms:modified xsi:type="dcterms:W3CDTF">2016-01-20T17:34:00Z</dcterms:modified>
</cp:coreProperties>
</file>